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36 – Plan for Workflow and Automation Scalability</w:t>
      </w:r>
    </w:p>
    <w:p>
      <w:r>
        <w:t>☐ Apply consistent naming conventions for all workflows (e.g., HR - Onboarding - Notifications).</w:t>
      </w:r>
    </w:p>
    <w:p>
      <w:r>
        <w:t>☐ Organize workflows into folders by department or function.</w:t>
      </w:r>
    </w:p>
    <w:p>
      <w:r>
        <w:t>☐ Add notes and documentation to each workflow explaining logic and intent.</w:t>
      </w:r>
    </w:p>
    <w:p>
      <w:r>
        <w:t>☐ Use tags or ownership indicators to track responsibility for each automation.</w:t>
      </w:r>
    </w:p>
    <w:p>
      <w:r>
        <w:t>☐ Export complex workflows as JSON and store in version-controlled folders.</w:t>
      </w:r>
    </w:p>
    <w:p>
      <w:r>
        <w:t>☐ Review automation inventory quarterly for outdated, disabled, or overlapping logic.</w:t>
      </w:r>
    </w:p>
    <w:p>
      <w:r>
        <w:t>☐ Ensure workflows are tied to business processes and not duplicating other rules.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